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26E" w:rsidRPr="00422DC6" w:rsidRDefault="00CC712D">
      <w:pPr>
        <w:pStyle w:val="a3"/>
        <w:spacing w:after="0" w:line="240" w:lineRule="auto"/>
        <w:ind w:left="752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422DC6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Инструкция по заполнению листа соответствия техническим требованиям</w:t>
      </w:r>
    </w:p>
    <w:p w:rsidR="0011726E" w:rsidRPr="00422DC6" w:rsidRDefault="0011726E">
      <w:pPr>
        <w:pStyle w:val="a5"/>
        <w:rPr>
          <w:sz w:val="24"/>
          <w:szCs w:val="24"/>
        </w:rPr>
      </w:pPr>
    </w:p>
    <w:p w:rsidR="0066636F" w:rsidRDefault="0066636F" w:rsidP="0066636F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Техническая оценка осуществляется на основании документов технической части. Предложения участников, не прошедшие техническую оценку, </w:t>
      </w:r>
      <w:r w:rsidRPr="0066636F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будут дисквалифицированы</w:t>
      </w: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ab/>
      </w:r>
      <w:r w:rsidRPr="00422DC6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Для блокирующих критериев</w:t>
      </w: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участник должен предоставить </w:t>
      </w:r>
      <w:r w:rsidRPr="0066636F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полное соответствие</w:t>
      </w: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по всем требованиям. </w:t>
      </w:r>
    </w:p>
    <w:p w:rsidR="0066636F" w:rsidRPr="004E7749" w:rsidRDefault="0066636F" w:rsidP="0066636F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4E7749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Несоответствие или частичное соответствие</w:t>
      </w:r>
      <w:r w:rsidRPr="004E7749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блокирующим критериям повлечёт за собой дисквалификацию участника.</w:t>
      </w:r>
    </w:p>
    <w:p w:rsidR="0052737D" w:rsidRDefault="0066636F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закупочной процедуре </w:t>
      </w:r>
      <w:r w:rsidR="00CC712D" w:rsidRPr="00422DC6">
        <w:rPr>
          <w:sz w:val="24"/>
          <w:szCs w:val="24"/>
        </w:rPr>
        <w:t xml:space="preserve">Участник должен предоставить заполненную Таблицу соответствия техническим требованиям согласно </w:t>
      </w:r>
      <w:r w:rsidR="000F56DA">
        <w:rPr>
          <w:sz w:val="24"/>
          <w:szCs w:val="24"/>
        </w:rPr>
        <w:t>Приложению</w:t>
      </w:r>
      <w:r w:rsidR="00CC712D" w:rsidRPr="00422DC6">
        <w:rPr>
          <w:sz w:val="24"/>
          <w:szCs w:val="24"/>
        </w:rPr>
        <w:t xml:space="preserve"> №</w:t>
      </w:r>
      <w:r w:rsidR="00FA6FC4">
        <w:rPr>
          <w:sz w:val="24"/>
          <w:szCs w:val="24"/>
        </w:rPr>
        <w:t>1</w:t>
      </w:r>
      <w:r w:rsidR="00CC712D" w:rsidRPr="00422DC6">
        <w:rPr>
          <w:sz w:val="24"/>
          <w:szCs w:val="24"/>
        </w:rPr>
        <w:t xml:space="preserve"> к технической части закупочной документации «Таблица соответствий техническим требованиям</w:t>
      </w:r>
      <w:proofErr w:type="gramStart"/>
      <w:r w:rsidR="00CC712D" w:rsidRPr="00422DC6">
        <w:rPr>
          <w:sz w:val="24"/>
          <w:szCs w:val="24"/>
        </w:rPr>
        <w:t>»</w:t>
      </w:r>
      <w:proofErr w:type="gramEnd"/>
      <w:r w:rsidR="00CC712D" w:rsidRPr="00422DC6">
        <w:rPr>
          <w:sz w:val="24"/>
          <w:szCs w:val="24"/>
        </w:rPr>
        <w:t xml:space="preserve"> (</w:t>
      </w:r>
      <w:proofErr w:type="spellStart"/>
      <w:r w:rsidR="00CC712D" w:rsidRPr="00422DC6">
        <w:rPr>
          <w:sz w:val="24"/>
          <w:szCs w:val="24"/>
        </w:rPr>
        <w:t>Statement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of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Compliance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to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Technical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Requirements</w:t>
      </w:r>
      <w:proofErr w:type="spellEnd"/>
      <w:r w:rsidR="00CC712D" w:rsidRPr="00422DC6">
        <w:rPr>
          <w:sz w:val="24"/>
          <w:szCs w:val="24"/>
        </w:rPr>
        <w:t>)</w:t>
      </w:r>
      <w:r>
        <w:rPr>
          <w:sz w:val="24"/>
          <w:szCs w:val="24"/>
        </w:rPr>
        <w:t xml:space="preserve">, в формате: </w:t>
      </w:r>
      <w:r w:rsidRPr="0066636F">
        <w:rPr>
          <w:sz w:val="24"/>
          <w:szCs w:val="24"/>
        </w:rPr>
        <w:t>.</w:t>
      </w:r>
      <w:proofErr w:type="spellStart"/>
      <w:r w:rsidRPr="0066636F">
        <w:rPr>
          <w:sz w:val="24"/>
          <w:szCs w:val="24"/>
        </w:rPr>
        <w:t>xlsx</w:t>
      </w:r>
      <w:proofErr w:type="spellEnd"/>
      <w:r w:rsidRPr="006663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 w:rsidRPr="0066636F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>. При предоставлении Таблицы в формате .</w:t>
      </w:r>
      <w:r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 xml:space="preserve">, Таблица </w:t>
      </w:r>
      <w:r w:rsidRPr="0066636F">
        <w:rPr>
          <w:sz w:val="24"/>
          <w:szCs w:val="24"/>
        </w:rPr>
        <w:t>должна быть закрепл</w:t>
      </w:r>
      <w:r>
        <w:rPr>
          <w:sz w:val="24"/>
          <w:szCs w:val="24"/>
        </w:rPr>
        <w:t xml:space="preserve">ена подписью ответственного лица </w:t>
      </w:r>
      <w:r w:rsidRPr="0066636F">
        <w:rPr>
          <w:sz w:val="24"/>
          <w:szCs w:val="24"/>
        </w:rPr>
        <w:t>и печатью</w:t>
      </w:r>
      <w:r w:rsidR="00CC712D" w:rsidRPr="00422DC6">
        <w:rPr>
          <w:sz w:val="24"/>
          <w:szCs w:val="24"/>
        </w:rPr>
        <w:t xml:space="preserve">. </w:t>
      </w:r>
    </w:p>
    <w:p w:rsidR="0066636F" w:rsidRPr="00422DC6" w:rsidRDefault="0066636F">
      <w:pPr>
        <w:pStyle w:val="a5"/>
        <w:rPr>
          <w:sz w:val="24"/>
          <w:szCs w:val="24"/>
        </w:rPr>
      </w:pPr>
    </w:p>
    <w:p w:rsidR="0066636F" w:rsidRPr="0066636F" w:rsidRDefault="00CC712D" w:rsidP="0066636F">
      <w:pPr>
        <w:pStyle w:val="a5"/>
        <w:spacing w:after="120"/>
        <w:rPr>
          <w:b/>
          <w:sz w:val="24"/>
          <w:szCs w:val="24"/>
        </w:rPr>
      </w:pPr>
      <w:r w:rsidRPr="0066636F">
        <w:rPr>
          <w:b/>
          <w:sz w:val="24"/>
          <w:szCs w:val="24"/>
        </w:rPr>
        <w:t xml:space="preserve"> </w:t>
      </w:r>
      <w:r w:rsidR="0066636F" w:rsidRPr="0066636F">
        <w:rPr>
          <w:b/>
          <w:sz w:val="24"/>
          <w:szCs w:val="24"/>
        </w:rPr>
        <w:t xml:space="preserve">Требование по заполнению Таблицы соответствия: </w:t>
      </w:r>
    </w:p>
    <w:p w:rsidR="0066636F" w:rsidRDefault="0066636F" w:rsidP="0066636F">
      <w:pPr>
        <w:pStyle w:val="a5"/>
        <w:spacing w:after="120"/>
        <w:rPr>
          <w:sz w:val="24"/>
          <w:szCs w:val="24"/>
        </w:rPr>
      </w:pPr>
      <w:r>
        <w:rPr>
          <w:sz w:val="24"/>
          <w:szCs w:val="24"/>
        </w:rPr>
        <w:tab/>
      </w:r>
      <w:r w:rsidRPr="00422DC6">
        <w:rPr>
          <w:sz w:val="24"/>
          <w:szCs w:val="24"/>
        </w:rPr>
        <w:t xml:space="preserve">На </w:t>
      </w:r>
      <w:r w:rsidRPr="00DB7704">
        <w:rPr>
          <w:i/>
          <w:sz w:val="24"/>
          <w:szCs w:val="24"/>
        </w:rPr>
        <w:t>каждое</w:t>
      </w:r>
      <w:r w:rsidRPr="00422DC6">
        <w:rPr>
          <w:sz w:val="24"/>
          <w:szCs w:val="24"/>
        </w:rPr>
        <w:t xml:space="preserve"> требование в Таблице соответствия техническим требованиям участник должен проставить «</w:t>
      </w:r>
      <w:r w:rsidRPr="00422DC6">
        <w:rPr>
          <w:b/>
          <w:sz w:val="24"/>
          <w:szCs w:val="24"/>
        </w:rPr>
        <w:t>Соответствует</w:t>
      </w:r>
      <w:r w:rsidRPr="00422DC6">
        <w:rPr>
          <w:sz w:val="24"/>
          <w:szCs w:val="24"/>
        </w:rPr>
        <w:t>» или «</w:t>
      </w:r>
      <w:r w:rsidRPr="00422DC6">
        <w:rPr>
          <w:b/>
          <w:sz w:val="24"/>
          <w:szCs w:val="24"/>
        </w:rPr>
        <w:t>Не соответствует</w:t>
      </w:r>
      <w:r w:rsidRPr="00422DC6">
        <w:rPr>
          <w:sz w:val="24"/>
          <w:szCs w:val="24"/>
        </w:rPr>
        <w:t>».</w:t>
      </w:r>
    </w:p>
    <w:p w:rsidR="0066636F" w:rsidRDefault="00CC712D" w:rsidP="0066636F">
      <w:pPr>
        <w:pStyle w:val="a5"/>
        <w:rPr>
          <w:sz w:val="24"/>
          <w:szCs w:val="24"/>
        </w:rPr>
      </w:pPr>
      <w:r w:rsidRPr="00422DC6">
        <w:rPr>
          <w:sz w:val="24"/>
          <w:szCs w:val="24"/>
        </w:rPr>
        <w:t>В тех требованиях, где участник ответил «</w:t>
      </w:r>
      <w:r w:rsidRPr="00422DC6">
        <w:rPr>
          <w:b/>
          <w:sz w:val="24"/>
          <w:szCs w:val="24"/>
        </w:rPr>
        <w:t>Соответствует</w:t>
      </w:r>
      <w:r w:rsidRPr="00422DC6">
        <w:rPr>
          <w:sz w:val="24"/>
          <w:szCs w:val="24"/>
        </w:rPr>
        <w:t xml:space="preserve">», в колонке рядом участник должен предоставить </w:t>
      </w:r>
      <w:r w:rsidRPr="0052737D">
        <w:rPr>
          <w:i/>
          <w:sz w:val="24"/>
          <w:szCs w:val="24"/>
        </w:rPr>
        <w:t>ссылку на документ</w:t>
      </w:r>
      <w:r w:rsidRPr="00422DC6">
        <w:rPr>
          <w:sz w:val="24"/>
          <w:szCs w:val="24"/>
        </w:rPr>
        <w:t xml:space="preserve"> (описание продукта/решения) и на конкретный пункт документации, содержащей описание данного функционала</w:t>
      </w:r>
      <w:r w:rsidR="0066636F">
        <w:rPr>
          <w:sz w:val="24"/>
          <w:szCs w:val="24"/>
        </w:rPr>
        <w:t>,</w:t>
      </w:r>
      <w:r w:rsidRPr="00422DC6">
        <w:rPr>
          <w:sz w:val="24"/>
          <w:szCs w:val="24"/>
        </w:rPr>
        <w:t xml:space="preserve"> согласно которого определяется соответствие требованию</w:t>
      </w:r>
      <w:r w:rsidR="0066636F">
        <w:rPr>
          <w:sz w:val="24"/>
          <w:szCs w:val="24"/>
        </w:rPr>
        <w:t>, в колонке «Комментарии»</w:t>
      </w:r>
      <w:r w:rsidRPr="00422DC6">
        <w:rPr>
          <w:sz w:val="24"/>
          <w:szCs w:val="24"/>
        </w:rPr>
        <w:t xml:space="preserve">. </w:t>
      </w:r>
    </w:p>
    <w:p w:rsidR="0066636F" w:rsidRDefault="00CC712D" w:rsidP="0066636F">
      <w:pPr>
        <w:pStyle w:val="a5"/>
        <w:spacing w:after="120"/>
        <w:rPr>
          <w:sz w:val="24"/>
          <w:szCs w:val="24"/>
        </w:rPr>
      </w:pPr>
      <w:r w:rsidRPr="00422DC6">
        <w:rPr>
          <w:sz w:val="24"/>
          <w:szCs w:val="24"/>
        </w:rPr>
        <w:t xml:space="preserve"> </w:t>
      </w:r>
      <w:r w:rsidR="0066636F">
        <w:rPr>
          <w:sz w:val="24"/>
          <w:szCs w:val="24"/>
        </w:rPr>
        <w:t>Д</w:t>
      </w:r>
      <w:r w:rsidR="0066636F" w:rsidRPr="0066636F">
        <w:rPr>
          <w:sz w:val="24"/>
          <w:szCs w:val="24"/>
        </w:rPr>
        <w:t>опускается предоставление ссыл</w:t>
      </w:r>
      <w:r w:rsidR="0066636F">
        <w:rPr>
          <w:sz w:val="24"/>
          <w:szCs w:val="24"/>
        </w:rPr>
        <w:t>ки</w:t>
      </w:r>
      <w:r w:rsidR="0066636F" w:rsidRPr="0066636F">
        <w:rPr>
          <w:sz w:val="24"/>
          <w:szCs w:val="24"/>
        </w:rPr>
        <w:t xml:space="preserve"> на внешний ресурс</w:t>
      </w:r>
      <w:r w:rsidR="0066636F">
        <w:rPr>
          <w:sz w:val="24"/>
          <w:szCs w:val="24"/>
        </w:rPr>
        <w:t>, с указанием адреса/ссылки на пункт в колонке рядом «Комментарии». При этом, предоставленн</w:t>
      </w:r>
      <w:r w:rsidR="0066636F" w:rsidRPr="0066636F">
        <w:rPr>
          <w:sz w:val="24"/>
          <w:szCs w:val="24"/>
        </w:rPr>
        <w:t>ая с</w:t>
      </w:r>
      <w:r w:rsidR="0066636F" w:rsidRPr="0066636F">
        <w:rPr>
          <w:i/>
          <w:sz w:val="24"/>
          <w:szCs w:val="24"/>
        </w:rPr>
        <w:t>сылка на документ/внешний ресурс</w:t>
      </w:r>
      <w:r w:rsidR="0066636F" w:rsidRPr="0066636F">
        <w:rPr>
          <w:sz w:val="24"/>
          <w:szCs w:val="24"/>
        </w:rPr>
        <w:t xml:space="preserve"> должна быть рабочей, информативной. </w:t>
      </w:r>
    </w:p>
    <w:p w:rsidR="00422DC6" w:rsidRDefault="00CC712D" w:rsidP="0066636F">
      <w:pPr>
        <w:pStyle w:val="a5"/>
        <w:spacing w:after="120"/>
        <w:rPr>
          <w:sz w:val="24"/>
          <w:szCs w:val="24"/>
        </w:rPr>
      </w:pPr>
      <w:r w:rsidRPr="0052737D">
        <w:rPr>
          <w:i/>
          <w:sz w:val="24"/>
          <w:szCs w:val="24"/>
        </w:rPr>
        <w:t>В случае отсутствия</w:t>
      </w:r>
      <w:r w:rsidRPr="00422DC6">
        <w:rPr>
          <w:sz w:val="24"/>
          <w:szCs w:val="24"/>
        </w:rPr>
        <w:t xml:space="preserve"> подтверждающей информации о том или ином функционале, равно как и некорректное указание соответствия предлагаемого решения предъявляемым требованиям,</w:t>
      </w:r>
      <w:r w:rsidR="0066636F">
        <w:rPr>
          <w:sz w:val="24"/>
          <w:szCs w:val="24"/>
        </w:rPr>
        <w:t xml:space="preserve"> предоставление нерабочей ссылки</w:t>
      </w:r>
      <w:r w:rsidRPr="00422DC6">
        <w:rPr>
          <w:sz w:val="24"/>
          <w:szCs w:val="24"/>
        </w:rPr>
        <w:t xml:space="preserve"> </w:t>
      </w:r>
      <w:r w:rsidR="0066636F">
        <w:rPr>
          <w:sz w:val="24"/>
          <w:szCs w:val="24"/>
        </w:rPr>
        <w:t>на документ/внешний ресурс</w:t>
      </w:r>
      <w:r w:rsidR="0066636F" w:rsidRPr="00422DC6">
        <w:rPr>
          <w:sz w:val="24"/>
          <w:szCs w:val="24"/>
        </w:rPr>
        <w:t xml:space="preserve"> </w:t>
      </w:r>
      <w:r w:rsidRPr="00422DC6">
        <w:rPr>
          <w:sz w:val="24"/>
          <w:szCs w:val="24"/>
        </w:rPr>
        <w:t>Заказчик имеет право расценивать данный пункт технических требований как «</w:t>
      </w:r>
      <w:r w:rsidRPr="00422DC6">
        <w:rPr>
          <w:b/>
          <w:sz w:val="24"/>
          <w:szCs w:val="24"/>
        </w:rPr>
        <w:t>Не соответствует</w:t>
      </w:r>
      <w:r w:rsidRPr="00422DC6">
        <w:rPr>
          <w:sz w:val="24"/>
          <w:szCs w:val="24"/>
        </w:rPr>
        <w:t xml:space="preserve">». </w:t>
      </w:r>
    </w:p>
    <w:p w:rsidR="00422DC6" w:rsidRPr="00422DC6" w:rsidRDefault="0066636F" w:rsidP="00422DC6">
      <w:pPr>
        <w:pStyle w:val="a5"/>
        <w:spacing w:after="12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 случае, когда </w:t>
      </w:r>
      <w:r w:rsidR="00CC712D" w:rsidRPr="00422DC6">
        <w:rPr>
          <w:sz w:val="24"/>
          <w:szCs w:val="24"/>
        </w:rPr>
        <w:t xml:space="preserve">участник отвечает «Соответствует» на то или иное требование, исполнение (соответствие) данного требования будет являться обязательным для участника. </w:t>
      </w:r>
    </w:p>
    <w:p w:rsidR="0011726E" w:rsidRDefault="0066636F" w:rsidP="0066636F">
      <w:pPr>
        <w:pStyle w:val="a5"/>
        <w:spacing w:after="120"/>
        <w:ind w:firstLine="720"/>
        <w:rPr>
          <w:sz w:val="24"/>
          <w:szCs w:val="24"/>
        </w:rPr>
      </w:pPr>
      <w:r w:rsidRPr="00422DC6">
        <w:rPr>
          <w:sz w:val="24"/>
          <w:szCs w:val="24"/>
        </w:rPr>
        <w:t xml:space="preserve">В тех требованиях, где участник ответил </w:t>
      </w:r>
      <w:r w:rsidR="00CC712D" w:rsidRPr="0066636F">
        <w:rPr>
          <w:b/>
          <w:sz w:val="24"/>
          <w:szCs w:val="24"/>
        </w:rPr>
        <w:t>«Не соответствует»</w:t>
      </w:r>
      <w:r w:rsidR="00CC712D" w:rsidRPr="00422DC6">
        <w:rPr>
          <w:sz w:val="24"/>
          <w:szCs w:val="24"/>
        </w:rPr>
        <w:t xml:space="preserve"> на то или иное требование, участник должен указать в </w:t>
      </w:r>
      <w:r w:rsidR="00990D97" w:rsidRPr="00422DC6">
        <w:rPr>
          <w:sz w:val="24"/>
          <w:szCs w:val="24"/>
        </w:rPr>
        <w:t xml:space="preserve">колонке </w:t>
      </w:r>
      <w:r w:rsidR="00990D97">
        <w:rPr>
          <w:sz w:val="24"/>
          <w:szCs w:val="24"/>
        </w:rPr>
        <w:t>«</w:t>
      </w:r>
      <w:r>
        <w:rPr>
          <w:sz w:val="24"/>
          <w:szCs w:val="24"/>
        </w:rPr>
        <w:t>Комментарии»</w:t>
      </w:r>
      <w:r w:rsidR="00CC712D" w:rsidRPr="00422DC6">
        <w:rPr>
          <w:sz w:val="24"/>
          <w:szCs w:val="24"/>
        </w:rPr>
        <w:t xml:space="preserve">, какой части требования он </w:t>
      </w:r>
      <w:r>
        <w:rPr>
          <w:sz w:val="24"/>
          <w:szCs w:val="24"/>
        </w:rPr>
        <w:t xml:space="preserve">не </w:t>
      </w:r>
      <w:r w:rsidR="00CC712D" w:rsidRPr="00422DC6">
        <w:rPr>
          <w:sz w:val="24"/>
          <w:szCs w:val="24"/>
        </w:rPr>
        <w:t>соответствует и почему.</w:t>
      </w:r>
    </w:p>
    <w:p w:rsidR="0011726E" w:rsidRDefault="0066636F" w:rsidP="0066636F">
      <w:pPr>
        <w:pStyle w:val="a5"/>
        <w:spacing w:after="120"/>
        <w:ind w:firstLine="0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CC712D" w:rsidRPr="00422DC6">
        <w:rPr>
          <w:sz w:val="24"/>
          <w:szCs w:val="24"/>
        </w:rPr>
        <w:t>Никакие другие альтернативные ответ</w:t>
      </w:r>
      <w:r w:rsidR="00422DC6" w:rsidRPr="00422DC6">
        <w:rPr>
          <w:sz w:val="24"/>
          <w:szCs w:val="24"/>
        </w:rPr>
        <w:t>ы, помимо «Соответствует» или «Н</w:t>
      </w:r>
      <w:r w:rsidR="00CC712D" w:rsidRPr="00422DC6">
        <w:rPr>
          <w:sz w:val="24"/>
          <w:szCs w:val="24"/>
        </w:rPr>
        <w:t xml:space="preserve">е соответствует» приниматься не будут, в том числе такие, как «частично соответствует», «соответствует только в части…», «Принято к сведению» и т.д. Такие ответы будут расцениваться как </w:t>
      </w:r>
      <w:r w:rsidR="00CC712D" w:rsidRPr="00422DC6">
        <w:rPr>
          <w:b/>
          <w:sz w:val="24"/>
          <w:szCs w:val="24"/>
        </w:rPr>
        <w:t>«Не соответствует».</w:t>
      </w:r>
    </w:p>
    <w:p w:rsidR="0011726E" w:rsidRDefault="00422DC6" w:rsidP="00422DC6">
      <w:pPr>
        <w:spacing w:after="153" w:line="240" w:lineRule="auto"/>
        <w:ind w:right="13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CC712D"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Техническое предложение, в дополнение к обязательным для заполнения технических документов, должно содержать в том числе </w:t>
      </w:r>
      <w:r w:rsidR="00CC712D" w:rsidRPr="0066636F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следующие документы</w:t>
      </w:r>
      <w:r w:rsidR="00CC712D"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>: перечень технической документации (брошюры, технические паспорта, инструкция по эксплуатации и т.п. или иные документы, содержащие полное и подробное описание предлагаемой продукции и т.д.).</w:t>
      </w:r>
    </w:p>
    <w:p w:rsidR="00422DC6" w:rsidRDefault="00422DC6">
      <w:pPr>
        <w:tabs>
          <w:tab w:val="left" w:pos="6197"/>
        </w:tabs>
        <w:spacing w:after="153" w:line="240" w:lineRule="auto"/>
        <w:ind w:right="137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11726E" w:rsidRPr="00422DC6" w:rsidRDefault="0011726E">
      <w:pPr>
        <w:rPr>
          <w:sz w:val="24"/>
          <w:szCs w:val="24"/>
        </w:rPr>
      </w:pPr>
    </w:p>
    <w:sectPr w:rsidR="0011726E" w:rsidRPr="00422DC6" w:rsidSect="0066636F">
      <w:headerReference w:type="default" r:id="rId6"/>
      <w:pgSz w:w="12240" w:h="15840"/>
      <w:pgMar w:top="1134" w:right="850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C12" w:rsidRDefault="00D04C12" w:rsidP="00AA1C2F">
      <w:pPr>
        <w:spacing w:after="0" w:line="240" w:lineRule="auto"/>
      </w:pPr>
      <w:r>
        <w:separator/>
      </w:r>
    </w:p>
  </w:endnote>
  <w:endnote w:type="continuationSeparator" w:id="0">
    <w:p w:rsidR="00D04C12" w:rsidRDefault="00D04C12" w:rsidP="00AA1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C12" w:rsidRDefault="00D04C12" w:rsidP="00AA1C2F">
      <w:pPr>
        <w:spacing w:after="0" w:line="240" w:lineRule="auto"/>
      </w:pPr>
      <w:r>
        <w:separator/>
      </w:r>
    </w:p>
  </w:footnote>
  <w:footnote w:type="continuationSeparator" w:id="0">
    <w:p w:rsidR="00D04C12" w:rsidRDefault="00D04C12" w:rsidP="00AA1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C2F" w:rsidRPr="00AA1C2F" w:rsidRDefault="00AA1C2F" w:rsidP="00AA1C2F">
    <w:pPr>
      <w:pStyle w:val="a6"/>
      <w:jc w:val="right"/>
      <w:rPr>
        <w:rFonts w:ascii="Times New Roman" w:hAnsi="Times New Roman" w:cs="Times New Roman"/>
        <w:i/>
      </w:rPr>
    </w:pPr>
    <w:r w:rsidRPr="00AA1C2F">
      <w:rPr>
        <w:rFonts w:ascii="Times New Roman" w:hAnsi="Times New Roman" w:cs="Times New Roman"/>
        <w:i/>
      </w:rPr>
      <w:t>Приложение №1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26E"/>
    <w:rsid w:val="00026C5D"/>
    <w:rsid w:val="000F56DA"/>
    <w:rsid w:val="0011726E"/>
    <w:rsid w:val="00422DC6"/>
    <w:rsid w:val="00461F95"/>
    <w:rsid w:val="004A16EC"/>
    <w:rsid w:val="004E2F89"/>
    <w:rsid w:val="004E7749"/>
    <w:rsid w:val="0052737D"/>
    <w:rsid w:val="0066636F"/>
    <w:rsid w:val="00837A0A"/>
    <w:rsid w:val="00882B9E"/>
    <w:rsid w:val="008A5F9B"/>
    <w:rsid w:val="00990D97"/>
    <w:rsid w:val="00A07576"/>
    <w:rsid w:val="00A472EA"/>
    <w:rsid w:val="00AA1C2F"/>
    <w:rsid w:val="00AB62B5"/>
    <w:rsid w:val="00BE24F2"/>
    <w:rsid w:val="00CB521E"/>
    <w:rsid w:val="00CC712D"/>
    <w:rsid w:val="00D04C12"/>
    <w:rsid w:val="00D441E2"/>
    <w:rsid w:val="00DC2D14"/>
    <w:rsid w:val="00DE49F6"/>
    <w:rsid w:val="00E9699B"/>
    <w:rsid w:val="00F0050F"/>
    <w:rsid w:val="00FA6FC4"/>
    <w:rsid w:val="00FF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32C24D-77B5-4B17-BD10-7589045A6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Заголовок_3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4">
    <w:name w:val="Абзац списка Знак"/>
    <w:aliases w:val="Содержание. 2 уровень Знак,Заголовок_3 Знак"/>
    <w:basedOn w:val="a0"/>
    <w:link w:val="a3"/>
    <w:uiPriority w:val="34"/>
    <w:rPr>
      <w:rFonts w:ascii="Calibri" w:eastAsia="Calibri" w:hAnsi="Calibri" w:cs="Calibri"/>
      <w:color w:val="000000"/>
      <w:lang w:val="ru-RU" w:eastAsia="ru-RU"/>
    </w:rPr>
  </w:style>
  <w:style w:type="paragraph" w:customStyle="1" w:styleId="Default">
    <w:name w:val="Default"/>
    <w:rsid w:val="00F0050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/>
    </w:rPr>
  </w:style>
  <w:style w:type="paragraph" w:styleId="a6">
    <w:name w:val="header"/>
    <w:basedOn w:val="a"/>
    <w:link w:val="a7"/>
    <w:uiPriority w:val="99"/>
    <w:unhideWhenUsed/>
    <w:rsid w:val="00AA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1C2F"/>
    <w:rPr>
      <w:rFonts w:ascii="Calibri" w:eastAsia="Calibri" w:hAnsi="Calibri" w:cs="Calibri"/>
      <w:color w:val="000000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AA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1C2F"/>
    <w:rPr>
      <w:rFonts w:ascii="Calibri" w:eastAsia="Calibri" w:hAnsi="Calibri" w:cs="Calibri"/>
      <w:color w:val="00000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666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6636F"/>
    <w:rPr>
      <w:rFonts w:ascii="Segoe UI" w:eastAsia="Calibri" w:hAnsi="Segoe UI" w:cs="Segoe UI"/>
      <w:color w:val="000000"/>
      <w:sz w:val="18"/>
      <w:szCs w:val="18"/>
      <w:lang w:val="ru-RU" w:eastAsia="ru-RU"/>
    </w:rPr>
  </w:style>
  <w:style w:type="paragraph" w:styleId="ac">
    <w:name w:val="Revision"/>
    <w:hidden/>
    <w:uiPriority w:val="99"/>
    <w:semiHidden/>
    <w:rsid w:val="0066636F"/>
    <w:pPr>
      <w:spacing w:after="0" w:line="240" w:lineRule="auto"/>
    </w:pPr>
    <w:rPr>
      <w:rFonts w:ascii="Calibri" w:eastAsia="Calibri" w:hAnsi="Calibri" w:cs="Calibri"/>
      <w:color w:val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Абдукадирова Малика Бахадировна</dc:creator>
  <cp:keywords/>
  <dc:description/>
  <cp:lastModifiedBy>Жукова Тамара Александровна</cp:lastModifiedBy>
  <cp:revision>2</cp:revision>
  <dcterms:created xsi:type="dcterms:W3CDTF">2025-02-28T13:16:00Z</dcterms:created>
  <dcterms:modified xsi:type="dcterms:W3CDTF">2025-07-21T07:50:00Z</dcterms:modified>
</cp:coreProperties>
</file>